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Services et prestations des secteurs sanitaire et social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Projet tutoré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Services et prestations des secteurs sanitaire et social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Projet tutoré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Projet tutoré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40 min / CCF 1 situation d'évaluation en formation professionnelle continue publique habilitée)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