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 la mode - Chaussure et Maroquinerie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d'activités en milieu industriel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 la mode - Chaussure et Maroquinerie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d'activités en milieu industriel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Étude de cas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45 min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rapport d'activités en milieu industriel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 et de l'unité d'études ou de développement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précise des activités, observations, analysés et études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situations observées, des problèmes rencontrés et des solutions retenues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Bilan des acquis techniques, économiques, organisationnels et réglementaires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orale et de l'argumentation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Métiers de la mode - Chaussure et Maroquinerie : rapport d'activités en milieu industriel support de E6.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