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Innovation textile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Étude de cas en milieu industriel | Modalité : Ponctuelle | Option : Bonneterie|Ennoblissement|Filature|Tissage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Innovation textile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Bonneterie|Ennoblissement|Filature|Tissage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Étude de cas en milieu industriel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E6 Étude de cas en milieu industriel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1 h 30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