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Fiche d'évaluation - BTS Cybersécurité, Informatique et réseaux, Électronique</w:t>
      </w:r>
    </w:p>
    <w:p>
      <w:pPr>
        <w:jc w:val="center"/>
      </w:pPr>
      <w:r>
        <w:rPr>
          <w:i/>
          <w:sz w:val="21"/>
          <w:lang w:val="fr-FR" w:eastAsia="fr-FR" w:bidi="fr-FR"/>
        </w:rPr>
        <w:t>Support évalué : Rapport d'activité en entreprise | Modalité : Mixte selon voie | Option : Options informatique et réseaux ; electronique et communications</w:t>
      </w:r>
    </w:p>
    <w:tbl>
      <w:tblPr>
        <w:tblStyle w:val="TableGrid"/>
        <w:tblW w:type="auto" w:w="0"/>
        <w:jc w:val="center"/>
        <w:tblLook w:firstColumn="1" w:firstRow="1" w:lastColumn="0" w:lastRow="0" w:noHBand="0" w:noVBand="1" w:val="04A0"/>
      </w:tblPr>
      <w:tblGrid>
        <w:gridCol w:w="3563"/>
        <w:gridCol w:w="3563"/>
        <w:gridCol w:w="3563"/>
        <w:gridCol w:w="3563"/>
      </w:tblGrid>
      <w:tr>
        <w:tc>
          <w:tcPr>
            <w:tcW w:type="dxa" w:w="1814"/>
            <w:vAlign w:val="center"/>
            <w:shd w:fill="D9EAF7"/>
          </w:tcPr>
          <w:p>
            <w:r>
              <w:rPr>
                <w:b/>
                <w:lang w:val="fr-FR" w:eastAsia="fr-FR" w:bidi="fr-FR"/>
              </w:rPr>
              <w:t>BTS</w:t>
            </w:r>
          </w:p>
        </w:tc>
        <w:tc>
          <w:tcPr>
            <w:tcW w:type="dxa" w:w="4535"/>
            <w:vAlign w:val="center"/>
          </w:tcPr>
          <w:p>
            <w:r>
              <w:rPr>
                <w:lang w:val="fr-FR" w:eastAsia="fr-FR" w:bidi="fr-FR"/>
              </w:rPr>
              <w:t>BTS Cybersécurité, Informatique et réseaux, Électronique</w:t>
            </w:r>
          </w:p>
        </w:tc>
        <w:tc>
          <w:tcPr>
            <w:tcW w:type="dxa" w:w="1814"/>
            <w:vAlign w:val="center"/>
            <w:shd w:fill="D9EAF7"/>
          </w:tcPr>
          <w:p>
            <w:r>
              <w:rPr>
                <w:b/>
              </w:rPr>
              <w:t>Modalité d'évaluation</w:t>
            </w:r>
          </w:p>
        </w:tc>
        <w:tc>
          <w:tcPr>
            <w:tcW w:type="dxa" w:w="6009"/>
            <w:vAlign w:val="center"/>
          </w:tcPr>
          <w:p>
            <w:r>
              <w:rPr>
                <w:lang w:val="fr-FR" w:eastAsia="fr-FR" w:bidi="fr-FR"/>
              </w:rPr>
              <w:t>Mixte selon voie</w:t>
            </w:r>
          </w:p>
        </w:tc>
      </w:tr>
      <w:tr>
        <w:tc>
          <w:tcPr>
            <w:tcW w:type="dxa" w:w="1814"/>
            <w:vAlign w:val="center"/>
            <w:shd w:fill="D9EAF7"/>
          </w:tcPr>
          <w:p>
            <w:r>
              <w:rPr>
                <w:b/>
                <w:lang w:val="fr-FR" w:eastAsia="fr-FR" w:bidi="fr-FR"/>
              </w:rPr>
              <w:t>Option</w:t>
            </w:r>
          </w:p>
        </w:tc>
        <w:tc>
          <w:tcPr>
            <w:tcW w:type="dxa" w:w="4535"/>
            <w:vAlign w:val="center"/>
          </w:tcPr>
          <w:p>
            <w:r>
              <w:rPr>
                <w:lang w:val="fr-FR" w:eastAsia="fr-FR" w:bidi="fr-FR"/>
              </w:rPr>
              <w:t>Options informatique et réseaux ; electronique et communications</w:t>
            </w:r>
          </w:p>
        </w:tc>
        <w:tc>
          <w:tcPr>
            <w:tcW w:type="dxa" w:w="1814"/>
            <w:vAlign w:val="center"/>
            <w:shd w:fill="D9EAF7"/>
          </w:tcPr>
          <w:p>
            <w:r>
              <w:rPr>
                <w:b w:val="0"/>
              </w:rPr>
            </w:r>
          </w:p>
        </w:tc>
        <w:tc>
          <w:tcPr>
            <w:tcW w:type="dxa" w:w="6009"/>
            <w:vAlign w:val="center"/>
          </w:tcPr>
          <w:p>
            <w:r>
              <w:rPr>
                <w:b w:val="0"/>
              </w:rPr>
            </w:r>
          </w:p>
        </w:tc>
      </w:tr>
      <w:tr>
        <w:tc>
          <w:tcPr>
            <w:tcW w:type="dxa" w:w="1814"/>
            <w:vAlign w:val="center"/>
            <w:shd w:fill="D9EAF7"/>
          </w:tcPr>
          <w:p>
            <w:r>
              <w:rPr>
                <w:b/>
                <w:lang w:val="fr-FR" w:eastAsia="fr-FR" w:bidi="fr-FR"/>
              </w:rPr>
              <w:t>Support</w:t>
            </w:r>
          </w:p>
        </w:tc>
        <w:tc>
          <w:tcPr>
            <w:tcW w:type="dxa" w:w="4535"/>
            <w:vAlign w:val="center"/>
          </w:tcPr>
          <w:p>
            <w:r>
              <w:rPr>
                <w:lang w:val="fr-FR" w:eastAsia="fr-FR" w:bidi="fr-FR"/>
              </w:rPr>
              <w:t>Rapport d'activité en entreprise</w:t>
            </w:r>
          </w:p>
        </w:tc>
        <w:tc>
          <w:tcPr>
            <w:tcW w:type="dxa" w:w="1814"/>
            <w:vAlign w:val="center"/>
            <w:shd w:fill="D9EAF7"/>
          </w:tcPr>
          <w:p>
            <w:r>
              <w:rPr>
                <w:b/>
                <w:lang w:val="fr-FR" w:eastAsia="fr-FR" w:bidi="fr-FR"/>
              </w:rPr>
              <w:t>Épreuve</w:t>
            </w:r>
          </w:p>
        </w:tc>
        <w:tc>
          <w:tcPr>
            <w:tcW w:type="dxa" w:w="6009"/>
            <w:vAlign w:val="center"/>
          </w:tcPr>
          <w:p>
            <w:r>
              <w:rPr>
                <w:lang w:val="fr-FR" w:eastAsia="fr-FR" w:bidi="fr-FR"/>
              </w:rPr>
              <w:t>E6 Valorisation de la donnee et cybersecurite</w:t>
            </w:r>
          </w:p>
        </w:tc>
      </w:tr>
      <w:tr>
        <w:tc>
          <w:tcPr>
            <w:tcW w:type="dxa" w:w="1814"/>
            <w:vAlign w:val="center"/>
            <w:shd w:fill="D9EAF7"/>
          </w:tcPr>
          <w:p>
            <w:r>
              <w:rPr>
                <w:b/>
                <w:lang w:val="fr-FR" w:eastAsia="fr-FR" w:bidi="fr-FR"/>
              </w:rPr>
              <w:t>Voies / modalités</w:t>
            </w:r>
          </w:p>
        </w:tc>
        <w:tc>
          <w:tcPr>
            <w:tcW w:type="dxa" w:w="4535"/>
            <w:vAlign w:val="center"/>
          </w:tcPr>
          <w:p>
            <w:r>
              <w:rPr>
                <w:lang w:val="fr-FR" w:eastAsia="fr-FR" w:bidi="fr-FR"/>
              </w:rPr>
              <w:t>Mixte selon voie (CCF / Ponctuelle orale 1 h)</w:t>
            </w:r>
          </w:p>
        </w:tc>
        <w:tc>
          <w:tcPr>
            <w:tcW w:type="dxa" w:w="1814"/>
            <w:vAlign w:val="center"/>
            <w:shd w:fill="D9EAF7"/>
          </w:tcPr>
          <w:p>
            <w:r>
              <w:rPr>
                <w:b w:val="0"/>
              </w:rPr>
            </w:r>
          </w:p>
        </w:tc>
        <w:tc>
          <w:tcPr>
            <w:tcW w:type="dxa" w:w="6009"/>
            <w:vAlign w:val="center"/>
          </w:tcPr>
          <w:p>
            <w:r>
              <w:rPr>
                <w:b w:val="0"/>
              </w:rPr>
            </w:r>
          </w:p>
        </w:tc>
      </w:tr>
    </w:tbl>
    <w:p/>
    <w:p>
      <w:r>
        <w:rPr>
          <w:b/>
          <w:lang w:val="fr-FR" w:eastAsia="fr-FR" w:bidi="fr-FR"/>
        </w:rPr>
        <w:t>Échelle de positionnement conseillée</w:t>
      </w:r>
    </w:p>
    <w:tbl>
      <w:tblPr>
        <w:tblStyle w:val="TableGrid"/>
        <w:tblW w:type="auto" w:w="0"/>
        <w:jc w:val="left"/>
        <w:tblLook w:firstColumn="1" w:firstRow="1" w:lastColumn="0" w:lastRow="0" w:noHBand="0" w:noVBand="1" w:val="04A0"/>
      </w:tblPr>
      <w:tblGrid>
        <w:gridCol w:w="3563"/>
        <w:gridCol w:w="3563"/>
        <w:gridCol w:w="3563"/>
        <w:gridCol w:w="3563"/>
      </w:tblGrid>
      <w:tr>
        <w:tc>
          <w:tcPr>
            <w:tcW w:type="dxa" w:w="3563"/>
            <w:shd w:fill="D9EAF7"/>
          </w:tcPr>
          <w:p>
            <w:r>
              <w:rPr>
                <w:b/>
                <w:lang w:val="fr-FR" w:eastAsia="fr-FR" w:bidi="fr-FR"/>
              </w:rPr>
              <w:t>NA</w:t>
            </w:r>
          </w:p>
        </w:tc>
        <w:tc>
          <w:tcPr>
            <w:tcW w:type="dxa" w:w="3563"/>
            <w:shd w:fill="D9EAF7"/>
          </w:tcPr>
          <w:p>
            <w:r>
              <w:rPr>
                <w:b/>
                <w:lang w:val="fr-FR" w:eastAsia="fr-FR" w:bidi="fr-FR"/>
              </w:rPr>
              <w:t>PA</w:t>
            </w:r>
          </w:p>
        </w:tc>
        <w:tc>
          <w:tcPr>
            <w:tcW w:type="dxa" w:w="3563"/>
            <w:shd w:fill="D9EAF7"/>
          </w:tcPr>
          <w:p>
            <w:r>
              <w:rPr>
                <w:b/>
                <w:lang w:val="fr-FR" w:eastAsia="fr-FR" w:bidi="fr-FR"/>
              </w:rPr>
              <w:t>A</w:t>
            </w:r>
          </w:p>
        </w:tc>
        <w:tc>
          <w:tcPr>
            <w:tcW w:type="dxa" w:w="3563"/>
            <w:shd w:fill="D9EAF7"/>
          </w:tcPr>
          <w:p>
            <w:r>
              <w:rPr>
                <w:b/>
                <w:lang w:val="fr-FR" w:eastAsia="fr-FR" w:bidi="fr-FR"/>
              </w:rPr>
              <w:t>TB</w:t>
            </w:r>
          </w:p>
        </w:tc>
      </w:tr>
      <w:tr>
        <w:tc>
          <w:tcPr>
            <w:tcW w:type="dxa" w:w="3563"/>
          </w:tcPr>
          <w:p>
            <w:r>
              <w:rPr>
                <w:lang w:val="fr-FR" w:eastAsia="fr-FR" w:bidi="fr-FR"/>
              </w:rPr>
              <w:t>Non observable / non acquis</w:t>
            </w:r>
          </w:p>
        </w:tc>
        <w:tc>
          <w:tcPr>
            <w:tcW w:type="dxa" w:w="3563"/>
          </w:tcPr>
          <w:p>
            <w:r>
              <w:rPr>
                <w:lang w:val="fr-FR" w:eastAsia="fr-FR" w:bidi="fr-FR"/>
              </w:rPr>
              <w:t>Partiellement acquis</w:t>
            </w:r>
          </w:p>
        </w:tc>
        <w:tc>
          <w:tcPr>
            <w:tcW w:type="dxa" w:w="3563"/>
          </w:tcPr>
          <w:p>
            <w:r>
              <w:rPr>
                <w:lang w:val="fr-FR" w:eastAsia="fr-FR" w:bidi="fr-FR"/>
              </w:rPr>
              <w:t>Acquis</w:t>
            </w:r>
          </w:p>
        </w:tc>
        <w:tc>
          <w:tcPr>
            <w:tcW w:type="dxa" w:w="3563"/>
          </w:tcPr>
          <w:p>
            <w:r>
              <w:rPr>
                <w:lang w:val="fr-FR" w:eastAsia="fr-FR" w:bidi="fr-FR"/>
              </w:rPr>
              <w:t>Très bien acquis</w:t>
            </w:r>
          </w:p>
        </w:tc>
      </w:tr>
    </w:tbl>
    <w:p/>
    <w:p>
      <w:r>
        <w:rPr>
          <w:b/>
          <w:lang w:val="fr-FR" w:eastAsia="fr-FR" w:bidi="fr-FR"/>
        </w:rPr>
        <w:t>Grille d'évaluation</w:t>
      </w:r>
    </w:p>
    <w:tbl>
      <w:tblPr>
        <w:tblStyle w:val="TableGrid"/>
        <w:tblW w:type="auto" w:w="0"/>
        <w:jc w:val="center"/>
        <w:tblLook w:firstColumn="1" w:firstRow="1" w:lastColumn="0" w:lastRow="0" w:noHBand="0" w:noVBand="1" w:val="04A0"/>
      </w:tblPr>
      <w:tblGrid>
        <w:gridCol w:w="2036"/>
        <w:gridCol w:w="2036"/>
        <w:gridCol w:w="2036"/>
        <w:gridCol w:w="2036"/>
        <w:gridCol w:w="2036"/>
        <w:gridCol w:w="2036"/>
        <w:gridCol w:w="2036"/>
      </w:tblGrid>
      <w:tr>
        <w:trPr>
          <w:tblHeader w:val="true"/>
        </w:trPr>
        <w:tc>
          <w:tcPr>
            <w:tcW w:type="dxa" w:w="3402"/>
            <w:vAlign w:val="center"/>
            <w:shd w:fill="D9EAF7"/>
          </w:tcPr>
          <w:p>
            <w:pPr>
              <w:jc w:val="center"/>
            </w:pPr>
            <w:r>
              <w:rPr>
                <w:b/>
                <w:sz w:val="19"/>
                <w:lang w:val="fr-FR" w:eastAsia="fr-FR" w:bidi="fr-FR"/>
              </w:rPr>
              <w:t>Critère évalué</w:t>
            </w:r>
          </w:p>
        </w:tc>
        <w:tc>
          <w:tcPr>
            <w:tcW w:type="dxa" w:w="4762"/>
            <w:vAlign w:val="center"/>
            <w:shd w:fill="D9EAF7"/>
          </w:tcPr>
          <w:p>
            <w:pPr>
              <w:jc w:val="center"/>
            </w:pPr>
            <w:r>
              <w:rPr>
                <w:b/>
                <w:sz w:val="19"/>
                <w:lang w:val="fr-FR" w:eastAsia="fr-FR" w:bidi="fr-FR"/>
              </w:rPr>
              <w:t>Indicateurs observables / questions d'appui</w:t>
            </w:r>
          </w:p>
        </w:tc>
        <w:tc>
          <w:tcPr>
            <w:tcW w:type="dxa" w:w="510"/>
            <w:vAlign w:val="center"/>
            <w:shd w:fill="D9EAF7"/>
          </w:tcPr>
          <w:p>
            <w:pPr>
              <w:jc w:val="center"/>
            </w:pPr>
            <w:r>
              <w:rPr>
                <w:b/>
                <w:sz w:val="19"/>
                <w:lang w:val="fr-FR" w:eastAsia="fr-FR" w:bidi="fr-FR"/>
              </w:rPr>
              <w:t>NA</w:t>
            </w:r>
          </w:p>
        </w:tc>
        <w:tc>
          <w:tcPr>
            <w:tcW w:type="dxa" w:w="510"/>
            <w:vAlign w:val="center"/>
            <w:shd w:fill="D9EAF7"/>
          </w:tcPr>
          <w:p>
            <w:pPr>
              <w:jc w:val="center"/>
            </w:pPr>
            <w:r>
              <w:rPr>
                <w:b/>
                <w:sz w:val="19"/>
                <w:lang w:val="fr-FR" w:eastAsia="fr-FR" w:bidi="fr-FR"/>
              </w:rPr>
              <w:t>PA</w:t>
            </w:r>
          </w:p>
        </w:tc>
        <w:tc>
          <w:tcPr>
            <w:tcW w:type="dxa" w:w="510"/>
            <w:vAlign w:val="center"/>
            <w:shd w:fill="D9EAF7"/>
          </w:tcPr>
          <w:p>
            <w:pPr>
              <w:jc w:val="center"/>
            </w:pPr>
            <w:r>
              <w:rPr>
                <w:b/>
                <w:sz w:val="19"/>
                <w:lang w:val="fr-FR" w:eastAsia="fr-FR" w:bidi="fr-FR"/>
              </w:rPr>
              <w:t>A</w:t>
            </w:r>
          </w:p>
        </w:tc>
        <w:tc>
          <w:tcPr>
            <w:tcW w:type="dxa" w:w="510"/>
            <w:vAlign w:val="center"/>
            <w:shd w:fill="D9EAF7"/>
          </w:tcPr>
          <w:p>
            <w:pPr>
              <w:jc w:val="center"/>
            </w:pPr>
            <w:r>
              <w:rPr>
                <w:b/>
                <w:sz w:val="19"/>
                <w:lang w:val="fr-FR" w:eastAsia="fr-FR" w:bidi="fr-FR"/>
              </w:rPr>
              <w:t>TB</w:t>
            </w:r>
          </w:p>
        </w:tc>
        <w:tc>
          <w:tcPr>
            <w:tcW w:type="dxa" w:w="3855"/>
            <w:vAlign w:val="center"/>
            <w:shd w:fill="D9EAF7"/>
          </w:tcPr>
          <w:p>
            <w:pPr>
              <w:jc w:val="center"/>
            </w:pPr>
            <w:r>
              <w:rPr>
                <w:b/>
                <w:sz w:val="19"/>
                <w:lang w:val="fr-FR" w:eastAsia="fr-FR" w:bidi="fr-FR"/>
              </w:rPr>
              <w:t>Observations</w:t>
            </w:r>
          </w:p>
        </w:tc>
      </w:tr>
      <w:tr>
        <w:tc>
          <w:tcPr>
            <w:tcW w:type="dxa" w:w="3402"/>
            <w:vAlign w:val="center"/>
          </w:tcPr>
          <w:p>
            <w:pPr>
              <w:spacing w:after="0"/>
            </w:pPr>
            <w:r>
              <w:rPr>
                <w:lang w:val="fr-FR" w:eastAsia="fr-FR" w:bidi="fr-FR"/>
              </w:rPr>
              <w:t>Qualité, structuration et exploitabilité du rapport d'activité en entreprise</w:t>
            </w:r>
          </w:p>
        </w:tc>
        <w:tc>
          <w:tcPr>
            <w:tcW w:type="dxa" w:w="4762"/>
            <w:vAlign w:val="center"/>
          </w:tcPr>
          <w:p>
            <w:pPr>
              <w:spacing w:after="0"/>
            </w:pPr>
            <w:r>
              <w:rPr>
                <w:lang w:val="fr-FR" w:eastAsia="fr-FR" w:bidi="fr-FR"/>
              </w:rPr>
              <w:t>Support lisible, structuré, cohérent avec l'épreuve et directement exploitable pour l'évaluation.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Contextualisation de l'organisation, du système ou du réseau concerné</w:t>
            </w:r>
          </w:p>
        </w:tc>
        <w:tc>
          <w:tcPr>
            <w:tcW w:type="dxa" w:w="4762"/>
            <w:vAlign w:val="center"/>
          </w:tcPr>
          <w:p>
            <w:pPr>
              <w:spacing w:after="0"/>
            </w:pPr>
            <w:r>
              <w:rPr>
                <w:lang w:val="fr-FR" w:eastAsia="fr-FR" w:bidi="fr-FR"/>
              </w:rPr>
              <w:t>L'organisation du travail, le suivi et la coordination des actions sont explicites.</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Maîtrise technique des activités réalisées en informatique, réseaux ou électronique</w:t>
            </w:r>
          </w:p>
        </w:tc>
        <w:tc>
          <w:tcPr>
            <w:tcW w:type="dxa" w:w="4762"/>
            <w:vAlign w:val="center"/>
          </w:tcPr>
          <w:p>
            <w:pPr>
              <w:spacing w:after="0"/>
            </w:pPr>
            <w:r>
              <w:rPr>
                <w:lang w:val="fr-FR" w:eastAsia="fr-FR" w:bidi="fr-FR"/>
              </w:rPr>
              <w:t>Les techniques, outils et méthodes mobilisés sont expliqués et justifiés avec exactitude.</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en compte des enjeux de cybersécurité, de qualité et de traçabilité</w:t>
            </w:r>
          </w:p>
        </w:tc>
        <w:tc>
          <w:tcPr>
            <w:tcW w:type="dxa" w:w="4762"/>
            <w:vAlign w:val="center"/>
          </w:tcPr>
          <w:p>
            <w:pPr>
              <w:spacing w:after="0"/>
            </w:pPr>
            <w:r>
              <w:rPr>
                <w:lang w:val="fr-FR" w:eastAsia="fr-FR" w:bidi="fr-FR"/>
              </w:rPr>
              <w:t>Éléments observables explicitables dans le support écrit et confirmables lors de l'entretien.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Analysé des choix, résultats, incidents et améliorations proposées</w:t>
            </w:r>
          </w:p>
        </w:tc>
        <w:tc>
          <w:tcPr>
            <w:tcW w:type="dxa" w:w="4762"/>
            <w:vAlign w:val="center"/>
          </w:tcPr>
          <w:p>
            <w:pPr>
              <w:spacing w:after="0"/>
            </w:pPr>
            <w:r>
              <w:rPr>
                <w:lang w:val="fr-FR" w:eastAsia="fr-FR" w:bidi="fr-FR"/>
              </w:rPr>
              <w:t>Les choix, contraintes, résultats et éventuels écarts sont analysés avec recul professionnel.</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Qualité de la présentation orale et capacité de justification professionnelle</w:t>
            </w:r>
          </w:p>
        </w:tc>
        <w:tc>
          <w:tcPr>
            <w:tcW w:type="dxa" w:w="4762"/>
            <w:vAlign w:val="center"/>
          </w:tcPr>
          <w:p>
            <w:pPr>
              <w:spacing w:after="0"/>
            </w:pPr>
            <w:r>
              <w:rPr>
                <w:lang w:val="fr-FR" w:eastAsia="fr-FR" w:bidi="fr-FR"/>
              </w:rPr>
              <w:t>Expression claire, structurée, argumentée et adaptée au questionnement du jury.</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Qualité et conformité du rapport (30 pages max)</w:t>
            </w:r>
          </w:p>
        </w:tc>
        <w:tc>
          <w:tcPr>
            <w:tcW w:type="dxa" w:w="4762"/>
            <w:vAlign w:val="center"/>
          </w:tcPr>
          <w:p>
            <w:pPr>
              <w:spacing w:after="0"/>
            </w:pPr>
            <w:r>
              <w:rPr>
                <w:lang w:val="fr-FR" w:eastAsia="fr-FR" w:bidi="fr-FR"/>
              </w:rPr>
              <w:t>Support lisible, structuré, cohérent avec l'épreuve et directement exploitable pour l'évaluation.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Explicitation du contexte entreprise et des missions</w:t>
            </w:r>
          </w:p>
        </w:tc>
        <w:tc>
          <w:tcPr>
            <w:tcW w:type="dxa" w:w="4762"/>
            <w:vAlign w:val="center"/>
          </w:tcPr>
          <w:p>
            <w:pPr>
              <w:spacing w:after="0"/>
            </w:pPr>
            <w:r>
              <w:rPr>
                <w:lang w:val="fr-FR" w:eastAsia="fr-FR" w:bidi="fr-FR"/>
              </w:rPr>
              <w:t>Le candidat situe précisément l'organisation, ses missions et le périmètre de son intervention.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Maîtrise technique des activités réalisées</w:t>
            </w:r>
          </w:p>
        </w:tc>
        <w:tc>
          <w:tcPr>
            <w:tcW w:type="dxa" w:w="4762"/>
            <w:vAlign w:val="center"/>
          </w:tcPr>
          <w:p>
            <w:pPr>
              <w:spacing w:after="0"/>
            </w:pPr>
            <w:r>
              <w:rPr>
                <w:lang w:val="fr-FR" w:eastAsia="fr-FR" w:bidi="fr-FR"/>
              </w:rPr>
              <w:t>Les techniques, outils et méthodes mobilisés sont expliqués et justifiés avec exactitude.</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Analysé des choix, résultats et écarts</w:t>
            </w:r>
          </w:p>
        </w:tc>
        <w:tc>
          <w:tcPr>
            <w:tcW w:type="dxa" w:w="4762"/>
            <w:vAlign w:val="center"/>
          </w:tcPr>
          <w:p>
            <w:pPr>
              <w:spacing w:after="0"/>
            </w:pPr>
            <w:r>
              <w:rPr>
                <w:lang w:val="fr-FR" w:eastAsia="fr-FR" w:bidi="fr-FR"/>
              </w:rPr>
              <w:t>Les choix, contraintes, résultats et éventuels écarts sont analysés avec recul professionnel.</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en compte qualité, sécurité, procédures, coûts/délais</w:t>
            </w:r>
          </w:p>
        </w:tc>
        <w:tc>
          <w:tcPr>
            <w:tcW w:type="dxa" w:w="4762"/>
            <w:vAlign w:val="center"/>
          </w:tcPr>
          <w:p>
            <w:pPr>
              <w:spacing w:after="0"/>
            </w:pPr>
            <w:r>
              <w:rPr>
                <w:lang w:val="fr-FR" w:eastAsia="fr-FR" w:bidi="fr-FR"/>
              </w:rPr>
              <w:t>Éléments observables explicitables dans le support écrit et confirmables lors de l'entretien.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Qualité de la soutenance et capacité de justification</w:t>
            </w:r>
          </w:p>
        </w:tc>
        <w:tc>
          <w:tcPr>
            <w:tcW w:type="dxa" w:w="4762"/>
            <w:vAlign w:val="center"/>
          </w:tcPr>
          <w:p>
            <w:pPr>
              <w:spacing w:after="0"/>
            </w:pPr>
            <w:r>
              <w:rPr>
                <w:lang w:val="fr-FR" w:eastAsia="fr-FR" w:bidi="fr-FR"/>
              </w:rPr>
              <w:t>Expression claire, structurée, argumentée et adaptée au questionnement du jury.</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de recul sur l'expérience</w:t>
            </w:r>
          </w:p>
        </w:tc>
        <w:tc>
          <w:tcPr>
            <w:tcW w:type="dxa" w:w="4762"/>
            <w:vAlign w:val="center"/>
          </w:tcPr>
          <w:p>
            <w:pPr>
              <w:spacing w:after="0"/>
            </w:pPr>
            <w:r>
              <w:rPr>
                <w:lang w:val="fr-FR" w:eastAsia="fr-FR" w:bidi="fr-FR"/>
              </w:rPr>
              <w:t>Les choix, contraintes, résultats et éventuels écarts sont analysés avec recul professionnel.</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Communication adaptée au public</w:t>
            </w:r>
          </w:p>
        </w:tc>
        <w:tc>
          <w:tcPr>
            <w:tcW w:type="dxa" w:w="4762"/>
            <w:vAlign w:val="center"/>
          </w:tcPr>
          <w:p>
            <w:pPr>
              <w:spacing w:after="0"/>
            </w:pPr>
            <w:r>
              <w:rPr>
                <w:lang w:val="fr-FR" w:eastAsia="fr-FR" w:bidi="fr-FR"/>
              </w:rPr>
              <w:t>Expression claire, structurée, argumentée et adaptée au questionnement du jury.</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bl>
    <w:p/>
    <w:p>
      <w:r>
        <w:rPr>
          <w:b/>
          <w:lang w:val="fr-FR" w:eastAsia="fr-FR" w:bidi="fr-FR"/>
        </w:rPr>
        <w:t>Appréciation synthétique</w:t>
      </w:r>
    </w:p>
    <w:tbl>
      <w:tblPr>
        <w:tblStyle w:val="TableGrid"/>
        <w:tblW w:type="auto" w:w="0"/>
        <w:jc w:val="center"/>
        <w:tblLook w:firstColumn="1" w:firstRow="1" w:lastColumn="0" w:lastRow="0" w:noHBand="0" w:noVBand="1" w:val="04A0"/>
      </w:tblPr>
      <w:tblGrid>
        <w:gridCol w:w="7126"/>
        <w:gridCol w:w="7126"/>
      </w:tblGrid>
      <w:tr>
        <w:tc>
          <w:tcPr>
            <w:tcW w:type="dxa" w:w="3402"/>
            <w:shd w:fill="D9EAF7"/>
          </w:tcPr>
          <w:p>
            <w:r>
              <w:rPr>
                <w:b/>
                <w:lang w:val="fr-FR" w:eastAsia="fr-FR" w:bidi="fr-FR"/>
              </w:rPr>
              <w:t>Points forts observés</w:t>
            </w:r>
          </w:p>
        </w:tc>
        <w:tc>
          <w:tcPr>
            <w:tcW w:type="dxa" w:w="10658"/>
          </w:tcPr>
          <w:p>
            <w:r>
              <w:rPr>
                <w:lang w:val="fr-FR" w:eastAsia="fr-FR" w:bidi="fr-FR"/>
              </w:rPr>
            </w:r>
          </w:p>
        </w:tc>
      </w:tr>
      <w:tr>
        <w:tc>
          <w:tcPr>
            <w:tcW w:type="dxa" w:w="3402"/>
            <w:shd w:fill="D9EAF7"/>
          </w:tcPr>
          <w:p>
            <w:r>
              <w:rPr>
                <w:b/>
                <w:lang w:val="fr-FR" w:eastAsia="fr-FR" w:bidi="fr-FR"/>
              </w:rPr>
              <w:t>Axes de progression / vigilance</w:t>
            </w:r>
          </w:p>
        </w:tc>
        <w:tc>
          <w:tcPr>
            <w:tcW w:type="dxa" w:w="10658"/>
          </w:tcPr>
          <w:p>
            <w:r>
              <w:rPr>
                <w:lang w:val="fr-FR" w:eastAsia="fr-FR" w:bidi="fr-FR"/>
              </w:rPr>
            </w:r>
          </w:p>
        </w:tc>
      </w:tr>
      <w:tr>
        <w:tc>
          <w:tcPr>
            <w:tcW w:type="dxa" w:w="3402"/>
            <w:shd w:fill="D9EAF7"/>
          </w:tcPr>
          <w:p>
            <w:r>
              <w:rPr>
                <w:b/>
              </w:rPr>
              <w:t>Note proposée</w:t>
            </w:r>
          </w:p>
        </w:tc>
        <w:tc>
          <w:tcPr>
            <w:tcW w:type="dxa" w:w="10658"/>
          </w:tcPr>
          <w:p>
            <w:r>
              <w:rPr>
                <w:lang w:val="fr-FR" w:eastAsia="fr-FR" w:bidi="fr-FR"/>
              </w:rPr>
            </w:r>
          </w:p>
        </w:tc>
      </w:tr>
    </w:tbl>
    <w:p/>
    <w:p>
      <w:r>
        <w:rPr>
          <w:lang w:val="fr-FR" w:eastAsia="fr-FR" w:bidi="fr-FR"/>
        </w:rPr>
        <w:t>Référentiel officiel actuel du BTS CIEL : rapport d'activité en entreprise et articulation avec l'épreuve E6.</w:t>
      </w:r>
    </w:p>
    <w:p>
      <w:r>
        <w:rPr>
          <w:lang w:val="fr-FR" w:eastAsia="fr-FR" w:bidi="fr-FR"/>
        </w:rPr>
        <w:t>Les critères sont reconstitués à partir des objectifs de l'épreuve U6.1 (rapport d'activité en entreprise) décrits dans le référentiel du BTS SN, qui incluent la nécessité d'expliciter les objectifs, les résultats, les contraintes, et d'inclure des commentaires personnels et une conclusion. Une fiche d'appréciation est utilisée pour l'évaluation. Des éléments de la grille d'évaluation de la soutenance de stage pour l'option Informatique et Réseaux ont également été utilisés.</w:t>
      </w:r>
    </w:p>
    <w:sectPr w:rsidR="00FC693F" w:rsidRPr="0006063C" w:rsidSect="00034616">
      <w:pgSz w:w="15840" w:h="12240" w:orient="landscape"/>
      <w:pgMar w:top="737" w:right="794" w:bottom="737"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0"/>
      <w:lang w:val="fr-FR" w:eastAsia="fr-FR" w:bidi="fr-FR"/>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