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Commerce international à référentiel commun europeen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professionnel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Commerce international à référentiel commun europeen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U41|U42|U51|U52|U62 | E41 / E42 / E51 / E52 / E62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dossier professionnel global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situations professionnelles choisies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mobilisation des techniques de commerce international selon la sous-epreuve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l'analysé commerciale, organisationnelle et interculturelle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professionnelle en francais et en langue(s) étrangère(s)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usage pertinent des outils d'information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justification des choix et recul reflexif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mobilisation des techniques de commerce international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circulaire nationale 2017, le dossier professionnel global et la logique des blocs professionnels.</w:t>
      </w:r>
    </w:p>
    <w:p>
      <w:r>
        <w:rPr>
          <w:lang w:val="fr-FR" w:eastAsia="fr-FR" w:bidi="fr-FR"/>
        </w:rPr>
        <w:t>Les critères sont directement extraits de la circulaire nationale qui détaille l'épreuve E41/E42/E51/E52/E62 et les attentes concernant le dossier professionnel global du candidat.</w:t>
      </w:r>
    </w:p>
    <w:p>
      <w:r>
        <w:rPr>
          <w:sz w:val="17"/>
          <w:lang w:val="fr-FR" w:eastAsia="fr-FR" w:bidi="fr-FR"/>
        </w:rPr>
        <w:t>Grille publique : https://cache.media.education.gouv.fr/file/bts/73/9/Circulaire_nationale_BTS_CI_%2B_annexe_2017_725739.pdf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