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Assurance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professionnel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Assurance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U4|U6 | Dossier professionnel (grille E32 dans les annexes nationales)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Qualification du besoin et du périmètre de responsabilite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exploitation du système d'information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commerciale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decouverte des attentes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information et orientation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suivi de l'entretien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prospection et plan d'action commerciale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choix d'outils de communication adaptes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conduite de l'entretien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conseil d'une solution pertinente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élaboration et explication du devis, des garanties et de leurs limites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 la réglementation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recherche et exploitation des informations utiles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identifier les besoins du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et 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proposition de solutions commerciales adaptées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étapes de l'entretien de vente (accueil, découverte, proposition, traitement des objections, validation, suivi)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gestion de la relation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Annexe VIII E32 CCF 2021 : competences C2, C3, C5, C6, C7, C8, C18, C19, C20, C21, C22, C23, C24.</w:t>
      </w:r>
    </w:p>
    <w:p>
      <w:r>
        <w:rPr>
          <w:lang w:val="fr-FR" w:eastAsia="fr-FR" w:bidi="fr-FR"/>
        </w:rPr>
        <w:t>Les annexes nationales d'organisation du BTS Assurance incluent une fiche d'activité E32 qui détaille les compétences évaluées pour le dossier professionnel, notamment la capacité à mener un entretien commercial.</w:t>
      </w:r>
    </w:p>
    <w:p>
      <w:r>
        <w:rPr>
          <w:sz w:val="17"/>
          <w:lang w:val="fr-FR" w:eastAsia="fr-FR" w:bidi="fr-FR"/>
        </w:rPr>
        <w:t>Grille publique : https://cache.media.education.gouv.fr/file/2020-2021/52/2/Annexes_circulaire_BTS_Assurance_session_2021_MAJ_au_21.01.2021-1_%281%29_1372522.pdf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